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求真书院《代数拓扑I》修读概要</w:t>
      </w:r>
    </w:p>
    <w:p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先修课程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拓扑学、代数I-II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建议修读时间： 第三学年上学期或第四学年上学期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后续修读课程： 代数拓扑II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参考文献：（1）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Allen Hatcher: Algebraic Topology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566"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Style w:val="12"/>
        </w:rPr>
        <w:t>姜伯驹</w:t>
      </w:r>
      <w:r>
        <w:rPr>
          <w:rStyle w:val="12"/>
          <w:rFonts w:hint="eastAsia" w:eastAsia="宋体"/>
          <w:lang w:val="en-US" w:eastAsia="zh-CN"/>
        </w:rPr>
        <w:t xml:space="preserve">: </w:t>
      </w:r>
      <w:r>
        <w:rPr>
          <w:rStyle w:val="12"/>
        </w:rPr>
        <w:t>同调论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left="1566" w:leftChars="0" w:firstLine="0" w:firstLine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b w:val="0"/>
          <w:bCs w:val="0"/>
          <w:i w:val="0"/>
          <w:iCs w:val="0"/>
          <w:color w:val="000000"/>
          <w:sz w:val="22"/>
          <w:szCs w:val="22"/>
        </w:rPr>
        <w:t>Edwin Spanier: Algebraic Topology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课程基本内容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第一章：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单纯和奇异同调</w:t>
      </w:r>
    </w:p>
    <w:p>
      <w:pPr>
        <w:numPr>
          <w:ilvl w:val="0"/>
          <w:numId w:val="3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范畴，函子，自然变换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-复形和单纯同调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 奇异同调的定义与同伦不变性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第二章：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同调的性质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相对同调群长正和列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切除定理及应用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3.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Mayer-Vietoris序列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 Eilenberg-Steenrod公理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5. 胞腔复形的同调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6. 欧拉数与Lefschetz数</w:t>
      </w:r>
    </w:p>
    <w:p>
      <w:pPr>
        <w:tabs>
          <w:tab w:val="center" w:pos="4153"/>
        </w:tabs>
        <w:spacing w:line="30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章：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上同调理论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空间的上同调群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上同调群的上积与叉积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上同调环的定义和计算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Ext与Tor函子</w:t>
      </w:r>
    </w:p>
    <w:p>
      <w:pPr>
        <w:numPr>
          <w:ilvl w:val="0"/>
          <w:numId w:val="4"/>
        </w:numPr>
        <w:tabs>
          <w:tab w:val="center" w:pos="4153"/>
        </w:tabs>
        <w:spacing w:line="300" w:lineRule="auto"/>
        <w:ind w:left="48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万有系数定理和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Kunneth公式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第四章：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Poincare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对偶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局部系数与流形的定向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定向定理的证明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Poincare对偶定理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Alexander对偶定理和Lefschetz对偶定理</w:t>
      </w:r>
    </w:p>
    <w:p>
      <w:pPr>
        <w:numPr>
          <w:ilvl w:val="0"/>
          <w:numId w:val="5"/>
        </w:numPr>
        <w:tabs>
          <w:tab w:val="center" w:pos="4153"/>
        </w:tabs>
        <w:spacing w:line="30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子流形的相交配对</w:t>
      </w:r>
    </w:p>
    <w:p>
      <w:pPr>
        <w:tabs>
          <w:tab w:val="center" w:pos="4153"/>
        </w:tabs>
        <w:spacing w:line="300" w:lineRule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第五章：同伦论基础</w:t>
      </w:r>
    </w:p>
    <w:p>
      <w:pPr>
        <w:numPr>
          <w:ilvl w:val="0"/>
          <w:numId w:val="6"/>
        </w:num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空间的同伦群</w:t>
      </w:r>
    </w:p>
    <w:p>
      <w:pPr>
        <w:numPr>
          <w:ilvl w:val="0"/>
          <w:numId w:val="6"/>
        </w:num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纤维丛的同伦长正和列</w:t>
      </w:r>
    </w:p>
    <w:p>
      <w:pPr>
        <w:numPr>
          <w:ilvl w:val="0"/>
          <w:numId w:val="6"/>
        </w:num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Eilenberg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Ma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ascii="宋体" w:hAnsi="宋体" w:eastAsia="宋体" w:cs="宋体"/>
          <w:sz w:val="24"/>
          <w:szCs w:val="24"/>
        </w:rPr>
        <w:t>Lane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空间</w:t>
      </w:r>
    </w:p>
    <w:p>
      <w:pPr>
        <w:numPr>
          <w:ilvl w:val="0"/>
          <w:numId w:val="6"/>
        </w:numPr>
        <w:tabs>
          <w:tab w:val="center" w:pos="4153"/>
        </w:tabs>
        <w:spacing w:line="30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Hurewicz定理与Whitehead定理</w:t>
      </w:r>
    </w:p>
    <w:p>
      <w:pPr>
        <w:numPr>
          <w:ilvl w:val="0"/>
          <w:numId w:val="6"/>
        </w:num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上同调函子的可表性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"/>
      <w:jc w:val="left"/>
      <w:rPr>
        <w:rFonts w:ascii="仿宋" w:hAnsi="仿宋" w:eastAsia="仿宋" w:cs="Times New Roman"/>
        <w:bCs/>
        <w:sz w:val="24"/>
        <w:szCs w:val="24"/>
      </w:rPr>
    </w:pPr>
    <w:r>
      <w:rPr>
        <w:rFonts w:hint="eastAsia" w:ascii="仿宋" w:hAnsi="仿宋" w:eastAsia="仿宋" w:cs="Times New Roman"/>
        <w:bCs/>
        <w:spacing w:val="4"/>
        <w:sz w:val="24"/>
        <w:szCs w:val="24"/>
      </w:rPr>
      <w:drawing>
        <wp:inline distT="0" distB="0" distL="0" distR="0">
          <wp:extent cx="1870710" cy="29781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82" cy="31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46FCAA"/>
    <w:multiLevelType w:val="singleLevel"/>
    <w:tmpl w:val="D346FC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A9D88C"/>
    <w:multiLevelType w:val="singleLevel"/>
    <w:tmpl w:val="F6A9D88C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2">
    <w:nsid w:val="18041E1E"/>
    <w:multiLevelType w:val="singleLevel"/>
    <w:tmpl w:val="18041E1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3D95EE9"/>
    <w:multiLevelType w:val="singleLevel"/>
    <w:tmpl w:val="33D95E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6434FC1"/>
    <w:multiLevelType w:val="singleLevel"/>
    <w:tmpl w:val="36434FC1"/>
    <w:lvl w:ilvl="0" w:tentative="0">
      <w:start w:val="2"/>
      <w:numFmt w:val="decimal"/>
      <w:suff w:val="space"/>
      <w:lvlText w:val="（%1）"/>
      <w:lvlJc w:val="left"/>
    </w:lvl>
  </w:abstractNum>
  <w:abstractNum w:abstractNumId="5">
    <w:nsid w:val="67140B3F"/>
    <w:multiLevelType w:val="singleLevel"/>
    <w:tmpl w:val="67140B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zEwZmJjMzhmODgzNDY4YTU3Y2VjODU5MDA3MzEifQ=="/>
  </w:docVars>
  <w:rsids>
    <w:rsidRoot w:val="00CE7332"/>
    <w:rsid w:val="000161ED"/>
    <w:rsid w:val="0001706D"/>
    <w:rsid w:val="000574D8"/>
    <w:rsid w:val="00057699"/>
    <w:rsid w:val="00064AC9"/>
    <w:rsid w:val="00084CD1"/>
    <w:rsid w:val="000C316D"/>
    <w:rsid w:val="000D5F15"/>
    <w:rsid w:val="000D6BA0"/>
    <w:rsid w:val="0011277F"/>
    <w:rsid w:val="0012201A"/>
    <w:rsid w:val="00180340"/>
    <w:rsid w:val="001820E8"/>
    <w:rsid w:val="001A4718"/>
    <w:rsid w:val="001F03B5"/>
    <w:rsid w:val="001F2DED"/>
    <w:rsid w:val="001F58AD"/>
    <w:rsid w:val="00234EDF"/>
    <w:rsid w:val="00237264"/>
    <w:rsid w:val="00272481"/>
    <w:rsid w:val="002B6DF9"/>
    <w:rsid w:val="002C5BC3"/>
    <w:rsid w:val="00300D66"/>
    <w:rsid w:val="00333B80"/>
    <w:rsid w:val="0033420C"/>
    <w:rsid w:val="003728DE"/>
    <w:rsid w:val="00377CA6"/>
    <w:rsid w:val="00403509"/>
    <w:rsid w:val="0040472D"/>
    <w:rsid w:val="00461E67"/>
    <w:rsid w:val="00494B03"/>
    <w:rsid w:val="004D4DE4"/>
    <w:rsid w:val="00544857"/>
    <w:rsid w:val="005B2382"/>
    <w:rsid w:val="005F331A"/>
    <w:rsid w:val="005F55C4"/>
    <w:rsid w:val="00601113"/>
    <w:rsid w:val="006C1D24"/>
    <w:rsid w:val="006D356B"/>
    <w:rsid w:val="006D50FE"/>
    <w:rsid w:val="00720440"/>
    <w:rsid w:val="007600C8"/>
    <w:rsid w:val="007C0886"/>
    <w:rsid w:val="007C7E4C"/>
    <w:rsid w:val="008123BC"/>
    <w:rsid w:val="0083469B"/>
    <w:rsid w:val="0087632D"/>
    <w:rsid w:val="0089484B"/>
    <w:rsid w:val="008B7469"/>
    <w:rsid w:val="00923DB2"/>
    <w:rsid w:val="00964C81"/>
    <w:rsid w:val="0096579A"/>
    <w:rsid w:val="009C0582"/>
    <w:rsid w:val="00A20F45"/>
    <w:rsid w:val="00A21796"/>
    <w:rsid w:val="00A23B21"/>
    <w:rsid w:val="00AC3121"/>
    <w:rsid w:val="00AC613B"/>
    <w:rsid w:val="00AC751F"/>
    <w:rsid w:val="00B42C74"/>
    <w:rsid w:val="00B5745B"/>
    <w:rsid w:val="00BF68E8"/>
    <w:rsid w:val="00C402C2"/>
    <w:rsid w:val="00C65FCB"/>
    <w:rsid w:val="00C82A9B"/>
    <w:rsid w:val="00CE7332"/>
    <w:rsid w:val="00D041B2"/>
    <w:rsid w:val="00D66F46"/>
    <w:rsid w:val="00E23879"/>
    <w:rsid w:val="00E24A3E"/>
    <w:rsid w:val="00E42602"/>
    <w:rsid w:val="00E96111"/>
    <w:rsid w:val="00E963D6"/>
    <w:rsid w:val="00EA3A07"/>
    <w:rsid w:val="00EB3542"/>
    <w:rsid w:val="00ED7AC3"/>
    <w:rsid w:val="00F53AA5"/>
    <w:rsid w:val="00F66D54"/>
    <w:rsid w:val="00FE1C5E"/>
    <w:rsid w:val="02AC7AE8"/>
    <w:rsid w:val="030B001C"/>
    <w:rsid w:val="04237923"/>
    <w:rsid w:val="068401F2"/>
    <w:rsid w:val="08072B62"/>
    <w:rsid w:val="10CB23C7"/>
    <w:rsid w:val="14917777"/>
    <w:rsid w:val="27675BCE"/>
    <w:rsid w:val="27826D09"/>
    <w:rsid w:val="28BB61E6"/>
    <w:rsid w:val="2AA36F32"/>
    <w:rsid w:val="2BE912BD"/>
    <w:rsid w:val="36B12FC0"/>
    <w:rsid w:val="3C65782E"/>
    <w:rsid w:val="41543239"/>
    <w:rsid w:val="484D5F4C"/>
    <w:rsid w:val="4A4F31F8"/>
    <w:rsid w:val="4E796ACA"/>
    <w:rsid w:val="4F625134"/>
    <w:rsid w:val="57777689"/>
    <w:rsid w:val="62320BCD"/>
    <w:rsid w:val="67841792"/>
    <w:rsid w:val="685567CB"/>
    <w:rsid w:val="7173498B"/>
    <w:rsid w:val="71A265F3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预设格式 字符"/>
    <w:basedOn w:val="2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2"/>
    <w:link w:val="4"/>
    <w:qFormat/>
    <w:uiPriority w:val="99"/>
    <w:rPr>
      <w:sz w:val="18"/>
      <w:szCs w:val="18"/>
    </w:rPr>
  </w:style>
  <w:style w:type="character" w:customStyle="1" w:styleId="12">
    <w:name w:val="fontstyle01"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BD5-A936-405D-8CBC-2B0A6E3C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601</Words>
  <Characters>797</Characters>
  <Lines>4</Lines>
  <Paragraphs>1</Paragraphs>
  <TotalTime>6</TotalTime>
  <ScaleCrop>false</ScaleCrop>
  <LinksUpToDate>false</LinksUpToDate>
  <CharactersWithSpaces>947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2022-06-27T05:55:00Z</dcterms:created>
  <dc:creator>Cheng Ziyu</dc:creator>
  <cp:lastModifiedBy>Baiyuan Li</cp:lastModifiedBy>
  <cp:lastPrinted>2022-06-27T07:40:00Z</cp:lastPrinted>
  <dcterms:modified xsi:type="dcterms:W3CDTF">2024-01-09T02:09:21Z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4AAA3020044B4904B66C5737B0EBDB65_13</vt:lpwstr>
  </property>
</Properties>
</file>