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ascii="仿宋" w:hAnsi="仿宋" w:eastAsia="仿宋" w:cs="仿宋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求真书院《微分几何I》修读概要</w:t>
      </w:r>
    </w:p>
    <w:p>
      <w:pPr>
        <w:ind w:firstLine="1205" w:firstLineChars="500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先修课程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分析I，II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代数I，II，拓扑学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建议修读时间： 第二学年下学期，第三学年上学期或第三学年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学期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后续修读课程： 微分几何II</w:t>
      </w:r>
      <w:r>
        <w:rPr>
          <w:rFonts w:ascii="仿宋" w:hAnsi="仿宋" w:eastAsia="仿宋" w:cs="仿宋"/>
          <w:b/>
          <w:bCs/>
          <w:sz w:val="24"/>
          <w:szCs w:val="24"/>
        </w:rPr>
        <w:t>: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黎曼几何，代数拓扑I，微分拓扑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参考文献：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（1）John Lee: Introduction to Smooth Manifolds</w:t>
      </w:r>
    </w:p>
    <w:p>
      <w:pPr>
        <w:numPr>
          <w:ilvl w:val="0"/>
          <w:numId w:val="2"/>
        </w:numPr>
        <w:tabs>
          <w:tab w:val="center" w:pos="4153"/>
        </w:tabs>
        <w:spacing w:line="300" w:lineRule="auto"/>
        <w:ind w:firstLine="200" w:firstLineChars="100"/>
        <w:rPr>
          <w:rFonts w:hint="eastAsia" w:ascii="仿宋" w:hAnsi="仿宋" w:eastAsia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 xml:space="preserve">Michael Spivak: </w:t>
      </w:r>
      <w:r>
        <w:rPr>
          <w:rFonts w:hint="eastAsia" w:ascii="仿宋" w:hAnsi="仿宋" w:eastAsia="仿宋"/>
          <w:b w:val="0"/>
          <w:bCs w:val="0"/>
          <w:sz w:val="20"/>
          <w:szCs w:val="20"/>
          <w:lang w:val="en-US" w:eastAsia="zh-CN"/>
        </w:rPr>
        <w:t>A Comprehensive Introduction to Differential Geometry, Vol.I</w:t>
      </w:r>
    </w:p>
    <w:p>
      <w:pPr>
        <w:numPr>
          <w:ilvl w:val="0"/>
          <w:numId w:val="2"/>
        </w:numPr>
        <w:tabs>
          <w:tab w:val="center" w:pos="4153"/>
        </w:tabs>
        <w:spacing w:line="300" w:lineRule="auto"/>
        <w:ind w:firstLine="200" w:firstLineChars="100"/>
        <w:rPr>
          <w:rFonts w:hint="default" w:ascii="仿宋" w:hAnsi="仿宋" w:eastAsia="仿宋" w:cs="仿宋"/>
          <w:sz w:val="22"/>
          <w:szCs w:val="22"/>
          <w:lang w:val="en-US"/>
        </w:rPr>
      </w:pPr>
      <w:r>
        <w:rPr>
          <w:rFonts w:hint="eastAsia" w:ascii="仿宋" w:hAnsi="仿宋" w:eastAsia="仿宋"/>
          <w:b w:val="0"/>
          <w:bCs w:val="0"/>
          <w:sz w:val="20"/>
          <w:szCs w:val="20"/>
          <w:lang w:val="en-US" w:eastAsia="zh-CN"/>
        </w:rPr>
        <w:t>Loring W. Tu: Differential Geometry, Connections, Curvature, and Characteristic Classes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 xml:space="preserve"> </w:t>
      </w:r>
    </w:p>
    <w:p>
      <w:pPr>
        <w:numPr>
          <w:ilvl w:val="0"/>
          <w:numId w:val="1"/>
        </w:numPr>
        <w:tabs>
          <w:tab w:val="center" w:pos="4153"/>
        </w:tabs>
        <w:spacing w:line="300" w:lineRule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课程基本内容</w:t>
      </w:r>
    </w:p>
    <w:p>
      <w:pPr>
        <w:tabs>
          <w:tab w:val="center" w:pos="4153"/>
        </w:tabs>
        <w:spacing w:line="300" w:lineRule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第一章：微分流形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. 拓扑流形，微分流形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2. </w:t>
      </w:r>
      <w:r>
        <w:rPr>
          <w:rFonts w:hint="eastAsia" w:ascii="仿宋" w:hAnsi="仿宋" w:eastAsia="仿宋" w:cs="仿宋"/>
          <w:sz w:val="24"/>
          <w:szCs w:val="24"/>
        </w:rPr>
        <w:t>流形的基本例子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3. </w:t>
      </w:r>
      <w:r>
        <w:rPr>
          <w:rFonts w:hint="eastAsia" w:ascii="仿宋" w:hAnsi="仿宋" w:eastAsia="仿宋" w:cs="仿宋"/>
          <w:sz w:val="24"/>
          <w:szCs w:val="24"/>
        </w:rPr>
        <w:t>鼓包函数，单位分解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4. </w:t>
      </w:r>
      <w:r>
        <w:rPr>
          <w:rFonts w:hint="eastAsia" w:ascii="仿宋" w:hAnsi="仿宋" w:eastAsia="仿宋" w:cs="仿宋"/>
          <w:sz w:val="24"/>
          <w:szCs w:val="24"/>
        </w:rPr>
        <w:t>反函数定理，隐函数定理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ascii="仿宋" w:hAnsi="仿宋" w:eastAsia="仿宋" w:cs="仿宋"/>
          <w:sz w:val="24"/>
          <w:szCs w:val="24"/>
        </w:rPr>
        <w:t xml:space="preserve">. </w:t>
      </w:r>
      <w:r>
        <w:rPr>
          <w:rFonts w:hint="eastAsia" w:ascii="仿宋" w:hAnsi="仿宋" w:eastAsia="仿宋" w:cs="仿宋"/>
          <w:sz w:val="24"/>
          <w:szCs w:val="24"/>
        </w:rPr>
        <w:t>浸入，浸没，嵌入</w:t>
      </w:r>
    </w:p>
    <w:p>
      <w:pPr>
        <w:tabs>
          <w:tab w:val="center" w:pos="4153"/>
        </w:tabs>
        <w:spacing w:line="300" w:lineRule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第二章：切空间与向量场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. 切空间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ascii="仿宋" w:hAnsi="仿宋" w:eastAsia="仿宋" w:cs="仿宋"/>
          <w:sz w:val="24"/>
          <w:szCs w:val="24"/>
        </w:rPr>
        <w:t xml:space="preserve">. </w:t>
      </w:r>
      <w:r>
        <w:rPr>
          <w:rFonts w:hint="eastAsia" w:ascii="仿宋" w:hAnsi="仿宋" w:eastAsia="仿宋" w:cs="仿宋"/>
          <w:sz w:val="24"/>
          <w:szCs w:val="24"/>
        </w:rPr>
        <w:t>向量场,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向量场的李括号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3. </w:t>
      </w:r>
      <w:r>
        <w:rPr>
          <w:rFonts w:hint="eastAsia" w:ascii="仿宋" w:hAnsi="仿宋" w:eastAsia="仿宋" w:cs="仿宋"/>
          <w:sz w:val="24"/>
          <w:szCs w:val="24"/>
        </w:rPr>
        <w:t>李导数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4. </w:t>
      </w:r>
      <w:r>
        <w:rPr>
          <w:rFonts w:hint="eastAsia" w:ascii="仿宋" w:hAnsi="仿宋" w:eastAsia="仿宋" w:cs="仿宋"/>
          <w:sz w:val="24"/>
          <w:szCs w:val="24"/>
        </w:rPr>
        <w:t>积分曲线，流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ascii="仿宋" w:hAnsi="仿宋" w:eastAsia="仿宋" w:cs="仿宋"/>
          <w:sz w:val="24"/>
          <w:szCs w:val="24"/>
        </w:rPr>
        <w:t xml:space="preserve">. </w:t>
      </w:r>
      <w:r>
        <w:rPr>
          <w:rFonts w:hint="eastAsia" w:ascii="仿宋" w:hAnsi="仿宋" w:eastAsia="仿宋" w:cs="仿宋"/>
          <w:sz w:val="24"/>
          <w:szCs w:val="24"/>
        </w:rPr>
        <w:t>分布，Frobenius定理</w:t>
      </w:r>
    </w:p>
    <w:p>
      <w:pPr>
        <w:tabs>
          <w:tab w:val="center" w:pos="4153"/>
        </w:tabs>
        <w:spacing w:line="300" w:lineRule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第三章：微分形式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ascii="仿宋" w:hAnsi="仿宋" w:eastAsia="仿宋" w:cs="仿宋"/>
          <w:sz w:val="24"/>
          <w:szCs w:val="24"/>
        </w:rPr>
        <w:t xml:space="preserve">. </w:t>
      </w:r>
      <w:r>
        <w:rPr>
          <w:rFonts w:hint="eastAsia" w:ascii="仿宋" w:hAnsi="仿宋" w:eastAsia="仿宋" w:cs="仿宋"/>
          <w:sz w:val="24"/>
          <w:szCs w:val="24"/>
        </w:rPr>
        <w:t>余切空间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2. </w:t>
      </w:r>
      <w:r>
        <w:rPr>
          <w:rFonts w:hint="eastAsia" w:ascii="仿宋" w:hAnsi="仿宋" w:eastAsia="仿宋" w:cs="仿宋"/>
          <w:sz w:val="24"/>
          <w:szCs w:val="24"/>
        </w:rPr>
        <w:t>1-形式与2-形式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3. </w:t>
      </w:r>
      <w:r>
        <w:rPr>
          <w:rFonts w:hint="eastAsia" w:ascii="仿宋" w:hAnsi="仿宋" w:eastAsia="仿宋" w:cs="仿宋"/>
          <w:sz w:val="24"/>
          <w:szCs w:val="24"/>
        </w:rPr>
        <w:t>一般微分形式的定义，代数结构，算子，性质等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4. </w:t>
      </w:r>
      <w:r>
        <w:rPr>
          <w:rFonts w:hint="eastAsia" w:ascii="仿宋" w:hAnsi="仿宋" w:eastAsia="仿宋" w:cs="仿宋"/>
          <w:sz w:val="24"/>
          <w:szCs w:val="24"/>
        </w:rPr>
        <w:t>李导数，Cartan公式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5. </w:t>
      </w:r>
      <w:r>
        <w:rPr>
          <w:rFonts w:hint="eastAsia" w:ascii="仿宋" w:hAnsi="仿宋" w:eastAsia="仿宋" w:cs="仿宋"/>
          <w:sz w:val="24"/>
          <w:szCs w:val="24"/>
        </w:rPr>
        <w:t>流形的定向，积分，带边流形，Stokes 定理</w:t>
      </w:r>
    </w:p>
    <w:p>
      <w:pPr>
        <w:tabs>
          <w:tab w:val="center" w:pos="4153"/>
        </w:tabs>
        <w:spacing w:line="300" w:lineRule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第四章：古典微分几何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ascii="仿宋" w:hAnsi="仿宋" w:eastAsia="仿宋" w:cs="仿宋"/>
          <w:sz w:val="24"/>
          <w:szCs w:val="24"/>
        </w:rPr>
        <w:t xml:space="preserve">. </w:t>
      </w:r>
      <w:r>
        <w:rPr>
          <w:rFonts w:hint="eastAsia" w:ascii="仿宋" w:hAnsi="仿宋" w:eastAsia="仿宋" w:cs="仿宋"/>
          <w:sz w:val="24"/>
          <w:szCs w:val="24"/>
        </w:rPr>
        <w:t>曲线的曲率与挠率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ascii="仿宋" w:hAnsi="仿宋" w:eastAsia="仿宋" w:cs="仿宋"/>
          <w:sz w:val="24"/>
          <w:szCs w:val="24"/>
        </w:rPr>
        <w:t xml:space="preserve">. </w:t>
      </w:r>
      <w:r>
        <w:rPr>
          <w:rFonts w:hint="eastAsia" w:ascii="仿宋" w:hAnsi="仿宋" w:eastAsia="仿宋" w:cs="仿宋"/>
          <w:sz w:val="24"/>
          <w:szCs w:val="24"/>
        </w:rPr>
        <w:t>曲线基本定理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3. </w:t>
      </w:r>
      <w:r>
        <w:rPr>
          <w:rFonts w:hint="eastAsia" w:ascii="仿宋" w:hAnsi="仿宋" w:eastAsia="仿宋" w:cs="仿宋"/>
          <w:sz w:val="24"/>
          <w:szCs w:val="24"/>
        </w:rPr>
        <w:t>曲面的第一标准形式，第二标准形式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4. </w:t>
      </w:r>
      <w:r>
        <w:rPr>
          <w:rFonts w:hint="eastAsia" w:ascii="仿宋" w:hAnsi="仿宋" w:eastAsia="仿宋" w:cs="仿宋"/>
          <w:sz w:val="24"/>
          <w:szCs w:val="24"/>
        </w:rPr>
        <w:t>高斯曲率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</w:t>
      </w:r>
      <w:r>
        <w:rPr>
          <w:rFonts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高斯绝妙定理</w:t>
      </w:r>
    </w:p>
    <w:p>
      <w:pPr>
        <w:tabs>
          <w:tab w:val="center" w:pos="4153"/>
        </w:tabs>
        <w:spacing w:line="300" w:lineRule="auto"/>
        <w:rPr>
          <w:rFonts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第五章：de</w:t>
      </w:r>
      <w:r>
        <w:rPr>
          <w:rFonts w:ascii="仿宋" w:hAnsi="仿宋" w:eastAsia="仿宋" w:cs="仿宋"/>
          <w:color w:val="33333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Rham同调理论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1. de Rham</w:t>
      </w:r>
      <w:r>
        <w:rPr>
          <w:rFonts w:hint="eastAsia" w:ascii="仿宋" w:hAnsi="仿宋" w:eastAsia="仿宋" w:cs="仿宋"/>
          <w:sz w:val="24"/>
          <w:szCs w:val="24"/>
        </w:rPr>
        <w:t>同调的定义，基本代数结构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2. </w:t>
      </w:r>
      <w:r>
        <w:rPr>
          <w:rFonts w:hint="eastAsia" w:ascii="仿宋" w:hAnsi="仿宋" w:eastAsia="仿宋" w:cs="仿宋"/>
          <w:sz w:val="24"/>
          <w:szCs w:val="24"/>
        </w:rPr>
        <w:t>庞加莱引理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 xml:space="preserve"> 同伦不变性</w:t>
      </w:r>
    </w:p>
    <w:p>
      <w:pPr>
        <w:tabs>
          <w:tab w:val="center" w:pos="4153"/>
        </w:tabs>
        <w:spacing w:line="300" w:lineRule="auto"/>
        <w:ind w:firstLine="480" w:firstLineChars="200"/>
        <w:rPr>
          <w:rFonts w:ascii="仿宋" w:hAnsi="仿宋" w:eastAsia="仿宋" w:cs="Times New Roman"/>
          <w:b/>
          <w:bCs/>
          <w:sz w:val="28"/>
          <w:szCs w:val="28"/>
          <w:highlight w:val="yellow"/>
        </w:rPr>
      </w:pPr>
      <w:r>
        <w:rPr>
          <w:rFonts w:ascii="仿宋" w:hAnsi="仿宋" w:eastAsia="仿宋" w:cs="仿宋"/>
          <w:sz w:val="24"/>
          <w:szCs w:val="24"/>
        </w:rPr>
        <w:t xml:space="preserve">4. </w:t>
      </w:r>
      <w:r>
        <w:rPr>
          <w:rFonts w:hint="eastAsia" w:ascii="仿宋" w:hAnsi="仿宋" w:eastAsia="仿宋" w:cs="仿宋"/>
          <w:sz w:val="24"/>
          <w:szCs w:val="24"/>
        </w:rPr>
        <w:t>Mayer</w:t>
      </w:r>
      <w:r>
        <w:rPr>
          <w:rFonts w:ascii="仿宋" w:hAnsi="仿宋" w:eastAsia="仿宋" w:cs="仿宋"/>
          <w:sz w:val="24"/>
          <w:szCs w:val="24"/>
        </w:rPr>
        <w:t>-Vietoris</w:t>
      </w:r>
      <w:r>
        <w:rPr>
          <w:rFonts w:hint="eastAsia" w:ascii="仿宋" w:hAnsi="仿宋" w:eastAsia="仿宋" w:cs="仿宋"/>
          <w:sz w:val="24"/>
          <w:szCs w:val="24"/>
        </w:rPr>
        <w:t>长正合列</w:t>
      </w:r>
    </w:p>
    <w:sectPr>
      <w:headerReference r:id="rId3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"/>
      <w:jc w:val="left"/>
      <w:rPr>
        <w:rFonts w:ascii="仿宋" w:hAnsi="仿宋" w:eastAsia="仿宋" w:cs="Times New Roman"/>
        <w:bCs/>
        <w:sz w:val="24"/>
        <w:szCs w:val="24"/>
      </w:rPr>
    </w:pPr>
    <w:r>
      <w:rPr>
        <w:rFonts w:hint="eastAsia" w:ascii="仿宋" w:hAnsi="仿宋" w:eastAsia="仿宋" w:cs="Times New Roman"/>
        <w:bCs/>
        <w:spacing w:val="4"/>
        <w:sz w:val="24"/>
        <w:szCs w:val="24"/>
      </w:rPr>
      <w:drawing>
        <wp:inline distT="0" distB="0" distL="0" distR="0">
          <wp:extent cx="1870710" cy="297815"/>
          <wp:effectExtent l="0" t="0" r="0" b="698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582" cy="31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  <w:r>
      <w:rPr>
        <w:rFonts w:ascii="仿宋" w:hAnsi="仿宋" w:eastAsia="仿宋" w:cs="Times New Roman"/>
        <w:bCs/>
        <w:spacing w:val="4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8B62D"/>
    <w:multiLevelType w:val="singleLevel"/>
    <w:tmpl w:val="9558B62D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18041E1E"/>
    <w:multiLevelType w:val="singleLevel"/>
    <w:tmpl w:val="18041E1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MzEwZmJjMzhmODgzNDY4YTU3Y2VjODU5MDA3MzEifQ=="/>
  </w:docVars>
  <w:rsids>
    <w:rsidRoot w:val="00CE7332"/>
    <w:rsid w:val="000161ED"/>
    <w:rsid w:val="0001706D"/>
    <w:rsid w:val="000574D8"/>
    <w:rsid w:val="00057699"/>
    <w:rsid w:val="00064AC9"/>
    <w:rsid w:val="00084CD1"/>
    <w:rsid w:val="000C316D"/>
    <w:rsid w:val="000D5F15"/>
    <w:rsid w:val="000D6BA0"/>
    <w:rsid w:val="0011277F"/>
    <w:rsid w:val="0012201A"/>
    <w:rsid w:val="00180340"/>
    <w:rsid w:val="001820E8"/>
    <w:rsid w:val="001A4718"/>
    <w:rsid w:val="001F03B5"/>
    <w:rsid w:val="001F2DED"/>
    <w:rsid w:val="001F58AD"/>
    <w:rsid w:val="00234EDF"/>
    <w:rsid w:val="00237264"/>
    <w:rsid w:val="00272481"/>
    <w:rsid w:val="002B6DF9"/>
    <w:rsid w:val="002C5BC3"/>
    <w:rsid w:val="00300D66"/>
    <w:rsid w:val="00333B80"/>
    <w:rsid w:val="0033420C"/>
    <w:rsid w:val="00335A42"/>
    <w:rsid w:val="003728DE"/>
    <w:rsid w:val="00377CA6"/>
    <w:rsid w:val="00403509"/>
    <w:rsid w:val="0040472D"/>
    <w:rsid w:val="00461E67"/>
    <w:rsid w:val="0049446A"/>
    <w:rsid w:val="00494B03"/>
    <w:rsid w:val="004D4DE4"/>
    <w:rsid w:val="00544857"/>
    <w:rsid w:val="005B2382"/>
    <w:rsid w:val="005D1517"/>
    <w:rsid w:val="005F331A"/>
    <w:rsid w:val="005F55C4"/>
    <w:rsid w:val="00601113"/>
    <w:rsid w:val="006C1D24"/>
    <w:rsid w:val="006D356B"/>
    <w:rsid w:val="006D50FE"/>
    <w:rsid w:val="007177CD"/>
    <w:rsid w:val="00720440"/>
    <w:rsid w:val="007600C8"/>
    <w:rsid w:val="007C0886"/>
    <w:rsid w:val="007C7E4C"/>
    <w:rsid w:val="008123BC"/>
    <w:rsid w:val="0083469B"/>
    <w:rsid w:val="0087632D"/>
    <w:rsid w:val="0089484B"/>
    <w:rsid w:val="008B7469"/>
    <w:rsid w:val="00923DB2"/>
    <w:rsid w:val="00964C81"/>
    <w:rsid w:val="0096579A"/>
    <w:rsid w:val="009C0582"/>
    <w:rsid w:val="00A20F45"/>
    <w:rsid w:val="00A21796"/>
    <w:rsid w:val="00A23B21"/>
    <w:rsid w:val="00AC3121"/>
    <w:rsid w:val="00AC613B"/>
    <w:rsid w:val="00AC751F"/>
    <w:rsid w:val="00B42C74"/>
    <w:rsid w:val="00B5745B"/>
    <w:rsid w:val="00BF68E8"/>
    <w:rsid w:val="00C402C2"/>
    <w:rsid w:val="00C65FCB"/>
    <w:rsid w:val="00C82A9B"/>
    <w:rsid w:val="00CE7332"/>
    <w:rsid w:val="00D041B2"/>
    <w:rsid w:val="00D12644"/>
    <w:rsid w:val="00D66F46"/>
    <w:rsid w:val="00E23879"/>
    <w:rsid w:val="00E24A3E"/>
    <w:rsid w:val="00E42602"/>
    <w:rsid w:val="00E96111"/>
    <w:rsid w:val="00E963D6"/>
    <w:rsid w:val="00EA3A07"/>
    <w:rsid w:val="00EB3542"/>
    <w:rsid w:val="00ED7AC3"/>
    <w:rsid w:val="00F53AA5"/>
    <w:rsid w:val="00F66D54"/>
    <w:rsid w:val="00FE1C5E"/>
    <w:rsid w:val="017D4DE4"/>
    <w:rsid w:val="02AC7AE8"/>
    <w:rsid w:val="030B001C"/>
    <w:rsid w:val="04237923"/>
    <w:rsid w:val="068401F2"/>
    <w:rsid w:val="08072B62"/>
    <w:rsid w:val="10EA3192"/>
    <w:rsid w:val="1D505B51"/>
    <w:rsid w:val="27675BCE"/>
    <w:rsid w:val="28BB61E6"/>
    <w:rsid w:val="2EE17E55"/>
    <w:rsid w:val="36B12FC0"/>
    <w:rsid w:val="484D5F4C"/>
    <w:rsid w:val="52352204"/>
    <w:rsid w:val="62320BCD"/>
    <w:rsid w:val="685567CB"/>
    <w:rsid w:val="7173498B"/>
    <w:rsid w:val="71A265F3"/>
    <w:rsid w:val="7C9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TML Preformatted Char"/>
    <w:basedOn w:val="2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Header Char"/>
    <w:basedOn w:val="2"/>
    <w:link w:val="5"/>
    <w:qFormat/>
    <w:uiPriority w:val="99"/>
    <w:rPr>
      <w:sz w:val="18"/>
      <w:szCs w:val="18"/>
    </w:rPr>
  </w:style>
  <w:style w:type="character" w:customStyle="1" w:styleId="11">
    <w:name w:val="Footer Char"/>
    <w:basedOn w:val="2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6BD5-A936-405D-8CBC-2B0A6E3CB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437</Characters>
  <Lines>3</Lines>
  <Paragraphs>1</Paragraphs>
  <TotalTime>38</TotalTime>
  <ScaleCrop>false</ScaleCrop>
  <LinksUpToDate>false</LinksUpToDate>
  <CharactersWithSpaces>512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2024-01-08T13:23:00Z</dcterms:created>
  <dc:creator>Cheng Ziyu</dc:creator>
  <cp:lastModifiedBy>Baiyuan Li</cp:lastModifiedBy>
  <cp:lastPrinted>2022-06-27T07:40:00Z</cp:lastPrinted>
  <dcterms:modified xsi:type="dcterms:W3CDTF">2024-01-09T02:19:24Z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D31FAFEFC48B41EC98C1887734AFCE2F_13</vt:lpwstr>
  </property>
</Properties>
</file>